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945" w:rsidRPr="00B83CBE" w:rsidRDefault="008B6945" w:rsidP="00AE02AB"/>
    <w:p w:rsidR="00115C5D" w:rsidRDefault="00016E6C" w:rsidP="00016E6C">
      <w:pPr>
        <w:pStyle w:val="ReportTitle"/>
      </w:pPr>
      <w:r>
        <w:t>Start here – what you need to know about data security</w:t>
      </w:r>
    </w:p>
    <w:p w:rsidR="00016E6C" w:rsidRDefault="00016E6C" w:rsidP="00016E6C">
      <w:pPr>
        <w:pStyle w:val="ReportTitle"/>
      </w:pPr>
      <w:r>
        <w:t>Action plan</w:t>
      </w:r>
    </w:p>
    <w:p w:rsidR="00016E6C" w:rsidRDefault="00016E6C" w:rsidP="00016E6C"/>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75"/>
        <w:gridCol w:w="5267"/>
        <w:gridCol w:w="5387"/>
      </w:tblGrid>
      <w:tr w:rsidR="00D12368" w:rsidTr="006660FC">
        <w:trPr>
          <w:trHeight w:val="720"/>
          <w:tblHeader/>
        </w:trPr>
        <w:tc>
          <w:tcPr>
            <w:tcW w:w="3375" w:type="dxa"/>
            <w:shd w:val="clear" w:color="auto" w:fill="FFE599"/>
          </w:tcPr>
          <w:p w:rsidR="00D12368" w:rsidRDefault="00D12368" w:rsidP="00385E71">
            <w:pPr>
              <w:rPr>
                <w:rFonts w:eastAsia="Arial"/>
                <w:b/>
              </w:rPr>
            </w:pPr>
            <w:bookmarkStart w:id="0" w:name="_heading=h.sg2fytcibqp5" w:colFirst="0" w:colLast="0"/>
            <w:bookmarkEnd w:id="0"/>
            <w:r>
              <w:rPr>
                <w:rFonts w:eastAsia="Arial"/>
                <w:b/>
              </w:rPr>
              <w:t>Question</w:t>
            </w:r>
          </w:p>
        </w:tc>
        <w:tc>
          <w:tcPr>
            <w:tcW w:w="5267" w:type="dxa"/>
            <w:shd w:val="clear" w:color="auto" w:fill="FFE599"/>
          </w:tcPr>
          <w:p w:rsidR="00D12368" w:rsidRDefault="00D12368" w:rsidP="00385E71">
            <w:pPr>
              <w:rPr>
                <w:rFonts w:eastAsia="Arial"/>
                <w:b/>
              </w:rPr>
            </w:pPr>
            <w:r>
              <w:rPr>
                <w:rFonts w:eastAsia="Arial"/>
                <w:b/>
              </w:rPr>
              <w:t xml:space="preserve">Tooltip </w:t>
            </w:r>
            <w:r>
              <w:rPr>
                <w:rFonts w:eastAsia="Arial"/>
                <w:b/>
              </w:rPr>
              <w:t xml:space="preserve"> </w:t>
            </w:r>
          </w:p>
        </w:tc>
        <w:tc>
          <w:tcPr>
            <w:tcW w:w="5387" w:type="dxa"/>
            <w:shd w:val="clear" w:color="auto" w:fill="FFE599"/>
          </w:tcPr>
          <w:p w:rsidR="00D12368" w:rsidRDefault="00D12368" w:rsidP="00385E71">
            <w:pPr>
              <w:rPr>
                <w:rFonts w:eastAsia="Arial"/>
                <w:b/>
              </w:rPr>
            </w:pPr>
            <w:r>
              <w:rPr>
                <w:rFonts w:eastAsia="Arial"/>
                <w:b/>
              </w:rPr>
              <w:t>Actions you need to take</w:t>
            </w:r>
          </w:p>
        </w:tc>
      </w:tr>
      <w:tr w:rsidR="00D12368" w:rsidTr="00D12368">
        <w:trPr>
          <w:trHeight w:val="1240"/>
        </w:trPr>
        <w:tc>
          <w:tcPr>
            <w:tcW w:w="3375" w:type="dxa"/>
          </w:tcPr>
          <w:p w:rsidR="00D12368" w:rsidRDefault="00D12368" w:rsidP="00385E71">
            <w:pPr>
              <w:rPr>
                <w:rFonts w:eastAsia="Arial"/>
                <w:b/>
              </w:rPr>
            </w:pPr>
            <w:r>
              <w:rPr>
                <w:rFonts w:eastAsia="Arial"/>
                <w:b/>
              </w:rPr>
              <w:t>Briefly describe the physical controls your buildings have that prevent unauthorised access to personal data.</w:t>
            </w:r>
          </w:p>
        </w:tc>
        <w:tc>
          <w:tcPr>
            <w:tcW w:w="5267" w:type="dxa"/>
          </w:tcPr>
          <w:p w:rsidR="00D12368" w:rsidRDefault="00D12368" w:rsidP="00385E71">
            <w:pPr>
              <w:rPr>
                <w:rFonts w:eastAsia="Arial"/>
              </w:rPr>
            </w:pPr>
            <w:r>
              <w:rPr>
                <w:rFonts w:eastAsia="Arial"/>
              </w:rPr>
              <w:t xml:space="preserve">Physical controls that support data protection include lockable doors, windows and cupboards, clear desk procedure, security badges, key coded locks to access secure areas etc. Provide details at high level and, if you have more than one building, summarise how compliance is assured across your organisation’s sites. </w:t>
            </w:r>
          </w:p>
          <w:p w:rsidR="00D12368" w:rsidRDefault="00D12368" w:rsidP="00385E71">
            <w:pPr>
              <w:rPr>
                <w:rFonts w:eastAsia="Arial"/>
              </w:rPr>
            </w:pPr>
          </w:p>
        </w:tc>
        <w:tc>
          <w:tcPr>
            <w:tcW w:w="5387" w:type="dxa"/>
          </w:tcPr>
          <w:p w:rsidR="00D12368" w:rsidRDefault="00D12368" w:rsidP="00385E71">
            <w:pPr>
              <w:rPr>
                <w:rFonts w:eastAsia="Arial"/>
              </w:rPr>
            </w:pPr>
          </w:p>
        </w:tc>
      </w:tr>
      <w:tr w:rsidR="00D12368" w:rsidTr="00D12368">
        <w:trPr>
          <w:trHeight w:val="1240"/>
        </w:trPr>
        <w:tc>
          <w:tcPr>
            <w:tcW w:w="3375" w:type="dxa"/>
          </w:tcPr>
          <w:p w:rsidR="00D12368" w:rsidRDefault="00D12368" w:rsidP="00385E71">
            <w:pPr>
              <w:rPr>
                <w:rFonts w:eastAsia="Arial"/>
                <w:b/>
              </w:rPr>
            </w:pPr>
            <w:r>
              <w:rPr>
                <w:rFonts w:eastAsia="Arial"/>
                <w:b/>
              </w:rPr>
              <w:t>How does your organisation make sure that paper records are safe when taken out of the building?</w:t>
            </w:r>
          </w:p>
        </w:tc>
        <w:tc>
          <w:tcPr>
            <w:tcW w:w="5267" w:type="dxa"/>
          </w:tcPr>
          <w:p w:rsidR="00D12368" w:rsidRDefault="00D12368" w:rsidP="00385E71">
            <w:pPr>
              <w:rPr>
                <w:rFonts w:eastAsia="Arial"/>
              </w:rPr>
            </w:pPr>
            <w:r>
              <w:rPr>
                <w:rFonts w:eastAsia="Arial"/>
              </w:rPr>
              <w:t xml:space="preserve">Paper records may be taken out of your organisation’s building(s), for example for hospital appointments or visits to people’s homes.  Leaving documents in cars, for instance, can be risky. How does your organisation make sure paper records are kept safe when ‘on the move’?  </w:t>
            </w:r>
          </w:p>
          <w:p w:rsidR="00D12368" w:rsidRDefault="00D12368" w:rsidP="00385E71">
            <w:pPr>
              <w:rPr>
                <w:rFonts w:eastAsia="Arial"/>
              </w:rPr>
            </w:pPr>
          </w:p>
          <w:p w:rsidR="00D12368" w:rsidRDefault="00D12368" w:rsidP="00385E71">
            <w:pPr>
              <w:rPr>
                <w:rFonts w:eastAsia="Arial"/>
              </w:rPr>
            </w:pPr>
            <w:r>
              <w:rPr>
                <w:rFonts w:eastAsia="Arial"/>
              </w:rPr>
              <w:t>If you do not have any paper records or do not take them off site, write “Not applicable” in the text box.</w:t>
            </w:r>
          </w:p>
          <w:p w:rsidR="00D12368" w:rsidRDefault="00D12368" w:rsidP="00385E71">
            <w:pPr>
              <w:rPr>
                <w:rFonts w:eastAsia="Arial"/>
              </w:rPr>
            </w:pPr>
          </w:p>
        </w:tc>
        <w:tc>
          <w:tcPr>
            <w:tcW w:w="5387" w:type="dxa"/>
          </w:tcPr>
          <w:p w:rsidR="00D12368" w:rsidRDefault="00D12368" w:rsidP="00385E71">
            <w:pPr>
              <w:rPr>
                <w:rFonts w:eastAsia="Arial"/>
              </w:rPr>
            </w:pPr>
          </w:p>
        </w:tc>
      </w:tr>
      <w:tr w:rsidR="00D12368" w:rsidTr="00D12368">
        <w:trPr>
          <w:trHeight w:val="1240"/>
        </w:trPr>
        <w:tc>
          <w:tcPr>
            <w:tcW w:w="3375" w:type="dxa"/>
          </w:tcPr>
          <w:p w:rsidR="00D12368" w:rsidRDefault="00D12368" w:rsidP="00385E71">
            <w:pPr>
              <w:rPr>
                <w:rFonts w:eastAsia="Arial"/>
                <w:b/>
              </w:rPr>
            </w:pPr>
            <w:r>
              <w:rPr>
                <w:rFonts w:eastAsia="Arial"/>
                <w:b/>
              </w:rPr>
              <w:lastRenderedPageBreak/>
              <w:t xml:space="preserve">Does your organisation have a business continuity plan that covers data and cyber security? </w:t>
            </w:r>
          </w:p>
          <w:p w:rsidR="00D12368" w:rsidRDefault="00D12368" w:rsidP="00385E71">
            <w:pPr>
              <w:rPr>
                <w:rFonts w:eastAsia="Arial"/>
                <w:b/>
              </w:rPr>
            </w:pPr>
          </w:p>
        </w:tc>
        <w:tc>
          <w:tcPr>
            <w:tcW w:w="5267" w:type="dxa"/>
          </w:tcPr>
          <w:p w:rsidR="00D12368" w:rsidRDefault="00D12368" w:rsidP="00385E71">
            <w:pPr>
              <w:rPr>
                <w:rFonts w:eastAsia="Arial"/>
              </w:rPr>
            </w:pPr>
            <w:r>
              <w:rPr>
                <w:rFonts w:eastAsia="Arial"/>
              </w:rPr>
              <w:t xml:space="preserve">Your organisation’s business continuity plan should cover data and </w:t>
            </w:r>
            <w:hyperlink r:id="rId8" w:anchor="C" w:history="1">
              <w:r w:rsidRPr="006766CF">
                <w:rPr>
                  <w:rStyle w:val="Hyperlink"/>
                  <w:rFonts w:eastAsia="Arial"/>
                </w:rPr>
                <w:t>cyber security</w:t>
              </w:r>
            </w:hyperlink>
            <w:r>
              <w:rPr>
                <w:rFonts w:eastAsia="Arial"/>
              </w:rPr>
              <w:t xml:space="preserve"> – for example what would you do to ensure continuity of service if: you had a power cut; the phone line/internet went down; you were hacked; a computer broke down; the office became unavailable (e.g. through fire).  </w:t>
            </w:r>
          </w:p>
          <w:p w:rsidR="00D12368" w:rsidRDefault="00D12368" w:rsidP="00385E71">
            <w:pPr>
              <w:rPr>
                <w:rFonts w:eastAsia="Arial"/>
              </w:rPr>
            </w:pPr>
          </w:p>
          <w:p w:rsidR="00D12368" w:rsidRDefault="00D12368" w:rsidP="00385E71">
            <w:pPr>
              <w:rPr>
                <w:rFonts w:eastAsia="Arial"/>
              </w:rPr>
            </w:pPr>
            <w:r>
              <w:rPr>
                <w:rFonts w:eastAsia="Arial"/>
              </w:rPr>
              <w:t xml:space="preserve">An example business continuity plan is available from Digital Social Care </w:t>
            </w:r>
            <w:hyperlink r:id="rId9" w:tgtFrame="_blank">
              <w:r>
                <w:rPr>
                  <w:rFonts w:eastAsia="Arial"/>
                  <w:color w:val="0563C1"/>
                  <w:u w:val="single"/>
                </w:rPr>
                <w:t>https://www.digitalsocialcare.co.uk/latest-guidance/template-policies/</w:t>
              </w:r>
            </w:hyperlink>
            <w:r>
              <w:rPr>
                <w:rFonts w:eastAsia="Arial"/>
              </w:rPr>
              <w:t xml:space="preserve"> </w:t>
            </w:r>
          </w:p>
          <w:p w:rsidR="00D12368" w:rsidRDefault="00D12368" w:rsidP="00385E71">
            <w:pPr>
              <w:rPr>
                <w:rFonts w:eastAsia="Arial"/>
              </w:rPr>
            </w:pPr>
          </w:p>
        </w:tc>
        <w:tc>
          <w:tcPr>
            <w:tcW w:w="5387" w:type="dxa"/>
          </w:tcPr>
          <w:p w:rsidR="00D12368" w:rsidRDefault="00D12368" w:rsidP="00385E71">
            <w:pPr>
              <w:rPr>
                <w:rFonts w:eastAsia="Arial"/>
              </w:rPr>
            </w:pPr>
          </w:p>
        </w:tc>
      </w:tr>
      <w:tr w:rsidR="00D12368" w:rsidTr="00D12368">
        <w:trPr>
          <w:trHeight w:val="1240"/>
        </w:trPr>
        <w:tc>
          <w:tcPr>
            <w:tcW w:w="3375" w:type="dxa"/>
          </w:tcPr>
          <w:p w:rsidR="00D12368" w:rsidRDefault="00D12368" w:rsidP="00385E71">
            <w:pPr>
              <w:rPr>
                <w:rFonts w:eastAsia="Arial"/>
                <w:b/>
              </w:rPr>
            </w:pPr>
            <w:r>
              <w:rPr>
                <w:rFonts w:eastAsia="Arial"/>
                <w:b/>
              </w:rPr>
              <w:t xml:space="preserve">How does your organisation test the data and cyber security aspects of its business continuity plan? </w:t>
            </w:r>
          </w:p>
        </w:tc>
        <w:tc>
          <w:tcPr>
            <w:tcW w:w="5267" w:type="dxa"/>
          </w:tcPr>
          <w:p w:rsidR="00D12368" w:rsidRDefault="00D12368" w:rsidP="00385E71">
            <w:pPr>
              <w:rPr>
                <w:rFonts w:eastAsia="Arial"/>
              </w:rPr>
            </w:pPr>
            <w:r>
              <w:rPr>
                <w:rFonts w:eastAsia="Arial"/>
              </w:rPr>
              <w:t>Describe how your organisation tests these aspects of its plan and what the outcome of the exercise was the last time you did this.  This should be in the last 12 months.</w:t>
            </w:r>
          </w:p>
          <w:p w:rsidR="00D12368" w:rsidRDefault="00D12368" w:rsidP="00385E71">
            <w:pPr>
              <w:rPr>
                <w:rFonts w:eastAsia="Arial"/>
              </w:rPr>
            </w:pPr>
          </w:p>
          <w:p w:rsidR="00D12368" w:rsidRDefault="00D12368" w:rsidP="00385E71">
            <w:pPr>
              <w:rPr>
                <w:rFonts w:eastAsia="Arial"/>
              </w:rPr>
            </w:pPr>
            <w:r>
              <w:rPr>
                <w:rFonts w:eastAsia="Arial"/>
              </w:rPr>
              <w:t xml:space="preserve">Guidance for testing your business continuity plan for the data and cyber security aspects is available from Digital Social Care </w:t>
            </w:r>
            <w:r w:rsidRPr="006660FC">
              <w:rPr>
                <w:rFonts w:eastAsia="Arial"/>
              </w:rPr>
              <w:t>[Webpage under development]</w:t>
            </w:r>
          </w:p>
          <w:p w:rsidR="00D12368" w:rsidRDefault="00D12368" w:rsidP="00385E71">
            <w:pPr>
              <w:rPr>
                <w:rFonts w:eastAsia="Arial"/>
              </w:rPr>
            </w:pPr>
          </w:p>
        </w:tc>
        <w:tc>
          <w:tcPr>
            <w:tcW w:w="5387" w:type="dxa"/>
          </w:tcPr>
          <w:p w:rsidR="00D12368" w:rsidRDefault="00D12368" w:rsidP="00385E71">
            <w:pPr>
              <w:rPr>
                <w:rFonts w:eastAsia="Arial"/>
              </w:rPr>
            </w:pPr>
          </w:p>
        </w:tc>
      </w:tr>
      <w:tr w:rsidR="00D12368" w:rsidTr="00D12368">
        <w:trPr>
          <w:trHeight w:val="70"/>
        </w:trPr>
        <w:tc>
          <w:tcPr>
            <w:tcW w:w="3375" w:type="dxa"/>
          </w:tcPr>
          <w:p w:rsidR="00D12368" w:rsidRDefault="00D12368" w:rsidP="00385E71">
            <w:pPr>
              <w:rPr>
                <w:rFonts w:eastAsia="Arial"/>
                <w:b/>
              </w:rPr>
            </w:pPr>
            <w:r>
              <w:rPr>
                <w:rFonts w:eastAsia="Arial"/>
                <w:b/>
              </w:rPr>
              <w:t>Does your organisation have a system in place to report data breaches?</w:t>
            </w:r>
          </w:p>
        </w:tc>
        <w:tc>
          <w:tcPr>
            <w:tcW w:w="5267" w:type="dxa"/>
          </w:tcPr>
          <w:p w:rsidR="00D12368" w:rsidRDefault="00D12368" w:rsidP="00385E71">
            <w:pPr>
              <w:rPr>
                <w:rFonts w:eastAsia="Arial"/>
              </w:rPr>
            </w:pPr>
            <w:r>
              <w:rPr>
                <w:rFonts w:eastAsia="Arial"/>
              </w:rPr>
              <w:t>All staff</w:t>
            </w:r>
            <w:r w:rsidRPr="00AF6CF8">
              <w:rPr>
                <w:rFonts w:eastAsia="Arial"/>
              </w:rPr>
              <w:t xml:space="preserve">, and volunteers if </w:t>
            </w:r>
            <w:r>
              <w:rPr>
                <w:rFonts w:eastAsia="Arial"/>
              </w:rPr>
              <w:t>you have them</w:t>
            </w:r>
            <w:r w:rsidRPr="00AF6CF8">
              <w:rPr>
                <w:rFonts w:eastAsia="Arial"/>
              </w:rPr>
              <w:t xml:space="preserve">, </w:t>
            </w:r>
            <w:r>
              <w:rPr>
                <w:rFonts w:eastAsia="Arial"/>
              </w:rPr>
              <w:t xml:space="preserve">are responsible for noticing and reporting </w:t>
            </w:r>
            <w:r w:rsidRPr="006660FC">
              <w:rPr>
                <w:rFonts w:eastAsia="Arial"/>
              </w:rPr>
              <w:t xml:space="preserve">data breaches </w:t>
            </w:r>
            <w:r>
              <w:rPr>
                <w:rFonts w:eastAsia="Arial"/>
              </w:rPr>
              <w:t xml:space="preserve">and it is vital that you have a robust reporting system in your organisation. </w:t>
            </w:r>
          </w:p>
          <w:p w:rsidR="00D12368" w:rsidRDefault="00D12368" w:rsidP="00385E71">
            <w:pPr>
              <w:rPr>
                <w:rFonts w:eastAsia="Arial"/>
              </w:rPr>
            </w:pPr>
          </w:p>
          <w:p w:rsidR="00D12368" w:rsidRDefault="00D12368" w:rsidP="00385E71">
            <w:pPr>
              <w:rPr>
                <w:rFonts w:eastAsia="Arial"/>
              </w:rPr>
            </w:pPr>
            <w:r>
              <w:rPr>
                <w:rFonts w:eastAsia="Arial"/>
              </w:rPr>
              <w:t>There is an incident reporting tool within this toolkit (</w:t>
            </w:r>
            <w:r w:rsidRPr="005B2DEB">
              <w:rPr>
                <w:rFonts w:eastAsia="Arial"/>
              </w:rPr>
              <w:t xml:space="preserve">https://www.dsptoolkit.nhs.uk/Incidents) </w:t>
            </w:r>
            <w:r>
              <w:rPr>
                <w:rFonts w:eastAsia="Arial"/>
              </w:rPr>
              <w:lastRenderedPageBreak/>
              <w:t xml:space="preserve">which you should use to </w:t>
            </w:r>
            <w:r w:rsidRPr="005B2DEB">
              <w:rPr>
                <w:rFonts w:eastAsia="Arial"/>
              </w:rPr>
              <w:t>report health and care incidents to</w:t>
            </w:r>
            <w:r>
              <w:rPr>
                <w:rFonts w:eastAsia="Arial"/>
              </w:rPr>
              <w:t xml:space="preserve"> the </w:t>
            </w:r>
            <w:hyperlink r:id="rId10" w:history="1">
              <w:r w:rsidRPr="00772C9F">
                <w:rPr>
                  <w:rStyle w:val="Hyperlink"/>
                  <w:rFonts w:eastAsia="Arial"/>
                </w:rPr>
                <w:t>Information Commissioner’s Office</w:t>
              </w:r>
            </w:hyperlink>
            <w:r>
              <w:rPr>
                <w:rFonts w:eastAsia="Arial"/>
              </w:rPr>
              <w:t xml:space="preserve"> (ICO). </w:t>
            </w:r>
            <w:r w:rsidRPr="005B2DEB">
              <w:rPr>
                <w:rFonts w:eastAsia="Arial"/>
              </w:rPr>
              <w:t xml:space="preserve">If you are not sure whether or not to inform the ICO of a </w:t>
            </w:r>
            <w:r>
              <w:rPr>
                <w:rFonts w:eastAsia="Arial"/>
              </w:rPr>
              <w:t xml:space="preserve">data </w:t>
            </w:r>
            <w:r w:rsidRPr="005B2DEB">
              <w:rPr>
                <w:rFonts w:eastAsia="Arial"/>
              </w:rPr>
              <w:t>breach, the toolkit’s incident reporting tool and guide (https://www.dsptoolkit.nhs.uk/Help/29) can help you to decide.</w:t>
            </w:r>
          </w:p>
          <w:p w:rsidR="00D12368" w:rsidRDefault="00D12368" w:rsidP="00385E71">
            <w:pPr>
              <w:rPr>
                <w:rFonts w:eastAsia="Arial"/>
              </w:rPr>
            </w:pPr>
          </w:p>
          <w:p w:rsidR="00D12368" w:rsidRDefault="00D12368" w:rsidP="00385E71">
            <w:pPr>
              <w:rPr>
                <w:rFonts w:eastAsia="Arial"/>
                <w:color w:val="1155CC"/>
                <w:u w:val="single"/>
              </w:rPr>
            </w:pPr>
            <w:r>
              <w:rPr>
                <w:rFonts w:eastAsia="Arial"/>
              </w:rPr>
              <w:t xml:space="preserve">Staff guidance on data breaches can be downloaded from Digital Social Care </w:t>
            </w:r>
            <w:hyperlink r:id="rId11" w:tgtFrame="_blank">
              <w:r>
                <w:rPr>
                  <w:rFonts w:eastAsia="Arial"/>
                  <w:color w:val="1155CC"/>
                  <w:u w:val="single"/>
                </w:rPr>
                <w:t>https://www.digitalsocialcare.co.uk/resource/staff-guidance-on-data-breaches/</w:t>
              </w:r>
            </w:hyperlink>
          </w:p>
          <w:p w:rsidR="00D12368" w:rsidRDefault="00D12368" w:rsidP="00385E71">
            <w:pPr>
              <w:rPr>
                <w:rFonts w:eastAsia="Arial"/>
              </w:rPr>
            </w:pPr>
          </w:p>
        </w:tc>
        <w:tc>
          <w:tcPr>
            <w:tcW w:w="5387" w:type="dxa"/>
          </w:tcPr>
          <w:p w:rsidR="00D12368" w:rsidRDefault="00D12368" w:rsidP="00385E71">
            <w:pPr>
              <w:rPr>
                <w:rFonts w:eastAsia="Arial"/>
              </w:rPr>
            </w:pPr>
          </w:p>
        </w:tc>
      </w:tr>
      <w:tr w:rsidR="00D12368" w:rsidTr="00D12368">
        <w:trPr>
          <w:trHeight w:val="1240"/>
        </w:trPr>
        <w:tc>
          <w:tcPr>
            <w:tcW w:w="3375" w:type="dxa"/>
          </w:tcPr>
          <w:p w:rsidR="00D12368" w:rsidRDefault="00D12368" w:rsidP="00385E71">
            <w:pPr>
              <w:rPr>
                <w:rFonts w:eastAsia="Arial"/>
                <w:b/>
              </w:rPr>
            </w:pPr>
            <w:r>
              <w:rPr>
                <w:rFonts w:eastAsia="Arial"/>
                <w:b/>
              </w:rPr>
              <w:t>If your organisation has had a data breach, were all individuals who were affected informed?</w:t>
            </w:r>
          </w:p>
        </w:tc>
        <w:tc>
          <w:tcPr>
            <w:tcW w:w="5267" w:type="dxa"/>
          </w:tcPr>
          <w:p w:rsidR="00D12368" w:rsidRDefault="00D12368" w:rsidP="00385E71">
            <w:pPr>
              <w:rPr>
                <w:rFonts w:eastAsia="Arial"/>
              </w:rPr>
            </w:pPr>
            <w:r>
              <w:rPr>
                <w:rFonts w:eastAsia="Arial"/>
              </w:rPr>
              <w:t xml:space="preserve">If your organisation has had a data breach that is likely to result in a high risk of adversely affecting individuals’ rights and freedoms - e.g. damage to reputation, financial loss, unfair discrimination, or other significant loss - you must inform the individual(s) affected as soon as possible. </w:t>
            </w:r>
          </w:p>
          <w:p w:rsidR="00D12368" w:rsidRDefault="00D12368" w:rsidP="00385E71">
            <w:pPr>
              <w:rPr>
                <w:rFonts w:eastAsia="Arial"/>
              </w:rPr>
            </w:pPr>
          </w:p>
          <w:p w:rsidR="00D12368" w:rsidRDefault="00D12368" w:rsidP="00385E71">
            <w:pPr>
              <w:rPr>
                <w:rFonts w:eastAsia="Arial"/>
              </w:rPr>
            </w:pPr>
            <w:r>
              <w:rPr>
                <w:rFonts w:eastAsia="Arial"/>
              </w:rPr>
              <w:t>If your organisation has had no such breaches in the last 12 months then please tick and write "Not applicable" in the comments box.</w:t>
            </w:r>
          </w:p>
          <w:p w:rsidR="00D12368" w:rsidRDefault="00D12368" w:rsidP="00385E71">
            <w:pPr>
              <w:rPr>
                <w:rFonts w:eastAsia="Arial"/>
              </w:rPr>
            </w:pPr>
          </w:p>
          <w:p w:rsidR="00D12368" w:rsidRDefault="00D12368" w:rsidP="00385E71">
            <w:pPr>
              <w:rPr>
                <w:rFonts w:eastAsia="Arial"/>
              </w:rPr>
            </w:pPr>
            <w:r>
              <w:rPr>
                <w:rFonts w:eastAsia="Arial"/>
              </w:rPr>
              <w:t xml:space="preserve">More information is available from the Information Commissioner’s Office </w:t>
            </w:r>
            <w:hyperlink r:id="rId12" w:tgtFrame="_blank">
              <w:r>
                <w:rPr>
                  <w:rFonts w:eastAsia="Arial"/>
                  <w:color w:val="1155CC"/>
                  <w:u w:val="single"/>
                </w:rPr>
                <w:t>https://ico.org.uk/for-organisations/guide-to-the-general-data-protection-regulation-gdpr/personal-data-breaches/</w:t>
              </w:r>
            </w:hyperlink>
            <w:bookmarkStart w:id="1" w:name="_GoBack"/>
            <w:bookmarkEnd w:id="1"/>
          </w:p>
        </w:tc>
        <w:tc>
          <w:tcPr>
            <w:tcW w:w="5387" w:type="dxa"/>
          </w:tcPr>
          <w:p w:rsidR="00D12368" w:rsidRDefault="00D12368" w:rsidP="00385E71">
            <w:pPr>
              <w:rPr>
                <w:rFonts w:eastAsia="Arial"/>
              </w:rPr>
            </w:pPr>
          </w:p>
        </w:tc>
      </w:tr>
      <w:tr w:rsidR="00D12368" w:rsidTr="00D12368">
        <w:trPr>
          <w:trHeight w:val="1240"/>
        </w:trPr>
        <w:tc>
          <w:tcPr>
            <w:tcW w:w="3375" w:type="dxa"/>
          </w:tcPr>
          <w:p w:rsidR="00D12368" w:rsidRDefault="00D12368" w:rsidP="00385E71">
            <w:pPr>
              <w:rPr>
                <w:rFonts w:eastAsia="Arial"/>
                <w:b/>
              </w:rPr>
            </w:pPr>
            <w:r>
              <w:rPr>
                <w:rFonts w:eastAsia="Arial"/>
                <w:b/>
              </w:rPr>
              <w:lastRenderedPageBreak/>
              <w:t>If your organisation has had a data breach or a near miss in the last year, has the organisation reviewed the process that may have allowed the breach to occur?</w:t>
            </w:r>
          </w:p>
          <w:p w:rsidR="00D12368" w:rsidRDefault="00D12368" w:rsidP="00385E71">
            <w:pPr>
              <w:rPr>
                <w:rFonts w:eastAsia="Arial"/>
                <w:b/>
              </w:rPr>
            </w:pPr>
          </w:p>
        </w:tc>
        <w:tc>
          <w:tcPr>
            <w:tcW w:w="5267" w:type="dxa"/>
          </w:tcPr>
          <w:p w:rsidR="00D12368" w:rsidRDefault="00D12368" w:rsidP="00385E71">
            <w:pPr>
              <w:rPr>
                <w:rFonts w:eastAsia="Arial"/>
              </w:rPr>
            </w:pPr>
            <w:bookmarkStart w:id="2" w:name="_heading=h.1fob9te" w:colFirst="0" w:colLast="0"/>
            <w:bookmarkEnd w:id="2"/>
            <w:r>
              <w:rPr>
                <w:rFonts w:eastAsia="Arial"/>
              </w:rPr>
              <w:t xml:space="preserve">Confirm that your organisation has reviewed any processes that have caused a breach or a </w:t>
            </w:r>
            <w:r w:rsidRPr="006660FC">
              <w:rPr>
                <w:rFonts w:eastAsia="Arial"/>
              </w:rPr>
              <w:t>near miss, or</w:t>
            </w:r>
            <w:r>
              <w:rPr>
                <w:rFonts w:eastAsia="Arial"/>
              </w:rPr>
              <w:t xml:space="preserve"> which force people to use unauthorised workarounds that could compromise your organisation’s data and cyber security.  Workarounds could be things such as using unauthorised devices such as home computers or personal memory sticks or forwarding emails to personal email addresses. It is good practice to review processes annually even if a breach or near miss has not taken place. </w:t>
            </w:r>
          </w:p>
          <w:p w:rsidR="00D12368" w:rsidRDefault="00D12368" w:rsidP="00385E71">
            <w:pPr>
              <w:rPr>
                <w:rFonts w:eastAsia="Arial"/>
              </w:rPr>
            </w:pPr>
          </w:p>
          <w:p w:rsidR="00D12368" w:rsidRDefault="00D12368" w:rsidP="00385E71">
            <w:pPr>
              <w:rPr>
                <w:rFonts w:eastAsia="Arial"/>
              </w:rPr>
            </w:pPr>
            <w:r>
              <w:rPr>
                <w:rFonts w:eastAsia="Arial"/>
              </w:rPr>
              <w:t>If no breaches or near misses in the last 12 months then please tick and write "Not applicable" in the comments box.</w:t>
            </w:r>
          </w:p>
          <w:p w:rsidR="00D12368" w:rsidRDefault="00D12368" w:rsidP="00385E71">
            <w:pPr>
              <w:rPr>
                <w:rFonts w:eastAsia="Arial"/>
              </w:rPr>
            </w:pPr>
          </w:p>
        </w:tc>
        <w:tc>
          <w:tcPr>
            <w:tcW w:w="5387" w:type="dxa"/>
          </w:tcPr>
          <w:p w:rsidR="00D12368" w:rsidRDefault="00D12368" w:rsidP="00385E71">
            <w:pPr>
              <w:rPr>
                <w:rFonts w:eastAsia="Arial"/>
              </w:rPr>
            </w:pPr>
          </w:p>
        </w:tc>
      </w:tr>
      <w:tr w:rsidR="00D12368" w:rsidTr="00D12368">
        <w:trPr>
          <w:trHeight w:val="1240"/>
        </w:trPr>
        <w:tc>
          <w:tcPr>
            <w:tcW w:w="3375" w:type="dxa"/>
          </w:tcPr>
          <w:p w:rsidR="00D12368" w:rsidRDefault="00D12368" w:rsidP="00385E71">
            <w:pPr>
              <w:rPr>
                <w:rFonts w:eastAsia="Arial"/>
                <w:b/>
              </w:rPr>
            </w:pPr>
            <w:r>
              <w:rPr>
                <w:rFonts w:eastAsia="Arial"/>
                <w:b/>
              </w:rPr>
              <w:t>If your organisation has had a data breach, were the management team notified, and did they approve the actions planned to minimise the risk of a recurrence?</w:t>
            </w:r>
          </w:p>
        </w:tc>
        <w:tc>
          <w:tcPr>
            <w:tcW w:w="5267" w:type="dxa"/>
          </w:tcPr>
          <w:p w:rsidR="00D12368" w:rsidRDefault="00D12368" w:rsidP="00385E71">
            <w:pPr>
              <w:rPr>
                <w:rFonts w:eastAsia="Arial"/>
              </w:rPr>
            </w:pPr>
            <w:r>
              <w:rPr>
                <w:rFonts w:eastAsia="Arial"/>
              </w:rPr>
              <w:t xml:space="preserve">In the event of a data breach the management team of your organisation, or nominated person, should be notified of the breach and any associated action plans or lessons learnt. </w:t>
            </w:r>
          </w:p>
          <w:p w:rsidR="00D12368" w:rsidRDefault="00D12368" w:rsidP="00385E71">
            <w:pPr>
              <w:rPr>
                <w:rFonts w:eastAsia="Arial"/>
              </w:rPr>
            </w:pPr>
          </w:p>
          <w:p w:rsidR="00D12368" w:rsidRDefault="00D12368" w:rsidP="00385E71">
            <w:pPr>
              <w:rPr>
                <w:rFonts w:eastAsia="Arial"/>
              </w:rPr>
            </w:pPr>
            <w:r>
              <w:rPr>
                <w:rFonts w:eastAsia="Arial"/>
              </w:rPr>
              <w:t>If no breaches in the last 12 months then please tick and write "Not applicable" in the comments box.</w:t>
            </w:r>
          </w:p>
        </w:tc>
        <w:tc>
          <w:tcPr>
            <w:tcW w:w="5387" w:type="dxa"/>
          </w:tcPr>
          <w:p w:rsidR="00D12368" w:rsidRDefault="00D12368" w:rsidP="00385E71">
            <w:pPr>
              <w:rPr>
                <w:rFonts w:eastAsia="Arial"/>
              </w:rPr>
            </w:pPr>
          </w:p>
        </w:tc>
      </w:tr>
    </w:tbl>
    <w:p w:rsidR="00016E6C" w:rsidRDefault="00016E6C" w:rsidP="00016E6C"/>
    <w:p w:rsidR="00016E6C" w:rsidRPr="00B873AE" w:rsidRDefault="00016E6C" w:rsidP="00016E6C">
      <w:pPr>
        <w:pStyle w:val="ReportTitle"/>
      </w:pPr>
    </w:p>
    <w:sectPr w:rsidR="00016E6C" w:rsidRPr="00B873AE" w:rsidSect="00016E6C">
      <w:headerReference w:type="default" r:id="rId13"/>
      <w:footerReference w:type="default" r:id="rId14"/>
      <w:headerReference w:type="first" r:id="rId15"/>
      <w:footerReference w:type="first" r:id="rId16"/>
      <w:type w:val="continuous"/>
      <w:pgSz w:w="16840" w:h="11907" w:orient="landscape" w:code="9"/>
      <w:pgMar w:top="1418" w:right="1418" w:bottom="1418" w:left="1418"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C84" w:rsidRDefault="001E0C84">
      <w:r>
        <w:separator/>
      </w:r>
    </w:p>
  </w:endnote>
  <w:endnote w:type="continuationSeparator" w:id="0">
    <w:p w:rsidR="001E0C84" w:rsidRDefault="001E0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88B" w:rsidRDefault="0047488B" w:rsidP="00B873AE">
    <w:pPr>
      <w:pStyle w:val="Footer"/>
      <w:pBdr>
        <w:top w:val="single" w:sz="18" w:space="0" w:color="A4AF00"/>
      </w:pBdr>
      <w:tabs>
        <w:tab w:val="clear" w:pos="8640"/>
        <w:tab w:val="right" w:pos="9072"/>
      </w:tabs>
    </w:pPr>
  </w:p>
  <w:p w:rsidR="0047488B" w:rsidRPr="00B873AE" w:rsidRDefault="0047488B" w:rsidP="00B873AE">
    <w:pPr>
      <w:pStyle w:val="Footer"/>
      <w:pBdr>
        <w:top w:val="single" w:sz="18" w:space="0" w:color="A4AF00"/>
      </w:pBdr>
      <w:tabs>
        <w:tab w:val="clear" w:pos="8640"/>
        <w:tab w:val="right" w:pos="9072"/>
      </w:tabs>
      <w:rPr>
        <w:b/>
        <w:color w:val="00408B"/>
        <w:sz w:val="20"/>
        <w:szCs w:val="20"/>
      </w:rPr>
    </w:pPr>
    <w:r w:rsidRPr="00B873AE">
      <w:rPr>
        <w:b/>
        <w:color w:val="00408B"/>
        <w:sz w:val="20"/>
        <w:szCs w:val="20"/>
        <w:u w:val="single"/>
      </w:rPr>
      <w:t>ipc@brookes.ac.uk</w:t>
    </w:r>
    <w:r w:rsidRPr="00B873AE">
      <w:rPr>
        <w:b/>
        <w:color w:val="00408B"/>
        <w:sz w:val="20"/>
        <w:szCs w:val="20"/>
      </w:rPr>
      <w:t xml:space="preserve"> </w:t>
    </w:r>
    <w:r w:rsidRPr="00B873AE">
      <w:rPr>
        <w:b/>
        <w:color w:val="00408B"/>
        <w:sz w:val="20"/>
        <w:szCs w:val="20"/>
      </w:rPr>
      <w:tab/>
    </w:r>
    <w:r w:rsidRPr="00B873AE">
      <w:rPr>
        <w:b/>
        <w:color w:val="00408B"/>
        <w:sz w:val="20"/>
        <w:szCs w:val="20"/>
      </w:rPr>
      <w:fldChar w:fldCharType="begin"/>
    </w:r>
    <w:r w:rsidRPr="00B873AE">
      <w:rPr>
        <w:b/>
        <w:color w:val="00408B"/>
        <w:sz w:val="20"/>
        <w:szCs w:val="20"/>
      </w:rPr>
      <w:instrText xml:space="preserve"> PAGE   \* MERGEFORMAT </w:instrText>
    </w:r>
    <w:r w:rsidRPr="00B873AE">
      <w:rPr>
        <w:b/>
        <w:color w:val="00408B"/>
        <w:sz w:val="20"/>
        <w:szCs w:val="20"/>
      </w:rPr>
      <w:fldChar w:fldCharType="separate"/>
    </w:r>
    <w:r w:rsidR="00AE02AB">
      <w:rPr>
        <w:b/>
        <w:noProof/>
        <w:color w:val="00408B"/>
        <w:sz w:val="20"/>
        <w:szCs w:val="20"/>
      </w:rPr>
      <w:t>1</w:t>
    </w:r>
    <w:r w:rsidRPr="00B873AE">
      <w:rPr>
        <w:b/>
        <w:noProof/>
        <w:color w:val="00408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88B" w:rsidRDefault="0047488B" w:rsidP="002C6DD8">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C84" w:rsidRDefault="001E0C84">
      <w:r>
        <w:separator/>
      </w:r>
    </w:p>
  </w:footnote>
  <w:footnote w:type="continuationSeparator" w:id="0">
    <w:p w:rsidR="001E0C84" w:rsidRDefault="001E0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E6C" w:rsidRDefault="00016E6C" w:rsidP="00016E6C">
    <w:pPr>
      <w:tabs>
        <w:tab w:val="right" w:pos="13892"/>
      </w:tabs>
      <w:rPr>
        <w:b/>
        <w:color w:val="00408B"/>
        <w:sz w:val="20"/>
        <w:szCs w:val="20"/>
      </w:rPr>
    </w:pPr>
    <w:r>
      <w:rPr>
        <w:b/>
        <w:color w:val="00408B"/>
        <w:sz w:val="20"/>
        <w:szCs w:val="20"/>
      </w:rPr>
      <w:t>Digital Social Care</w:t>
    </w:r>
    <w:r>
      <w:rPr>
        <w:b/>
        <w:color w:val="00408B"/>
        <w:sz w:val="20"/>
        <w:szCs w:val="20"/>
      </w:rPr>
      <w:tab/>
      <w:t>October 2020</w:t>
    </w:r>
  </w:p>
  <w:p w:rsidR="0047488B" w:rsidRPr="006135F1" w:rsidRDefault="00016E6C" w:rsidP="00AB6EE7">
    <w:pPr>
      <w:tabs>
        <w:tab w:val="right" w:pos="9072"/>
      </w:tabs>
      <w:rPr>
        <w:b/>
        <w:color w:val="00408B"/>
        <w:sz w:val="20"/>
        <w:szCs w:val="20"/>
      </w:rPr>
    </w:pPr>
    <w:r>
      <w:rPr>
        <w:b/>
        <w:color w:val="00408B"/>
        <w:sz w:val="20"/>
        <w:szCs w:val="20"/>
      </w:rPr>
      <w:t>Start here – what you need to know about data security</w:t>
    </w:r>
    <w:bookmarkStart w:id="3" w:name="Date"/>
    <w:bookmarkStart w:id="4" w:name="Title"/>
    <w:bookmarkEnd w:id="3"/>
    <w:bookmarkEnd w:id="4"/>
  </w:p>
  <w:p w:rsidR="0047488B" w:rsidRPr="006135F1" w:rsidRDefault="0047488B" w:rsidP="00B873AE">
    <w:pPr>
      <w:pBdr>
        <w:bottom w:val="single" w:sz="18" w:space="1" w:color="A4AF00"/>
      </w:pBdr>
      <w:rPr>
        <w:b/>
        <w:color w:val="00408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88B" w:rsidRDefault="0047488B" w:rsidP="002C6DD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0729D"/>
    <w:multiLevelType w:val="hybridMultilevel"/>
    <w:tmpl w:val="A5D44F0A"/>
    <w:lvl w:ilvl="0" w:tplc="72A6CD64">
      <w:start w:val="1"/>
      <w:numFmt w:val="bullet"/>
      <w:pStyle w:val="IPCBullet2"/>
      <w:lvlText w:val=""/>
      <w:lvlJc w:val="left"/>
      <w:pPr>
        <w:ind w:left="1146" w:hanging="360"/>
      </w:pPr>
      <w:rPr>
        <w:rFonts w:ascii="Wingdings 2" w:hAnsi="Wingdings 2" w:hint="default"/>
        <w:color w:val="A4AF00"/>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80820DB"/>
    <w:multiLevelType w:val="hybridMultilevel"/>
    <w:tmpl w:val="F7BC9A9E"/>
    <w:lvl w:ilvl="0" w:tplc="36CE032E">
      <w:start w:val="1"/>
      <w:numFmt w:val="bullet"/>
      <w:pStyle w:val="tablebullet2"/>
      <w:lvlText w:val=""/>
      <w:lvlJc w:val="left"/>
      <w:pPr>
        <w:ind w:left="1145" w:hanging="360"/>
      </w:pPr>
      <w:rPr>
        <w:rFonts w:ascii="Wingdings 2" w:hAnsi="Wingdings 2" w:hint="default"/>
        <w:color w:val="00408B"/>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 w15:restartNumberingAfterBreak="0">
    <w:nsid w:val="1BF133C5"/>
    <w:multiLevelType w:val="multilevel"/>
    <w:tmpl w:val="17241B4A"/>
    <w:lvl w:ilvl="0">
      <w:start w:val="1"/>
      <w:numFmt w:val="decimal"/>
      <w:pStyle w:val="Heading1"/>
      <w:lvlText w:val="%1"/>
      <w:lvlJc w:val="left"/>
      <w:pPr>
        <w:tabs>
          <w:tab w:val="num" w:pos="1134"/>
        </w:tabs>
        <w:ind w:left="1134" w:hanging="1134"/>
      </w:pPr>
      <w:rPr>
        <w:rFonts w:hint="default"/>
        <w:sz w:val="28"/>
      </w:rPr>
    </w:lvl>
    <w:lvl w:ilvl="1">
      <w:start w:val="1"/>
      <w:numFmt w:val="decimal"/>
      <w:pStyle w:val="Heading2"/>
      <w:lvlText w:val="%1.%2"/>
      <w:lvlJc w:val="left"/>
      <w:pPr>
        <w:tabs>
          <w:tab w:val="num" w:pos="1134"/>
        </w:tabs>
        <w:ind w:left="1134" w:hanging="1134"/>
      </w:pPr>
      <w:rPr>
        <w:i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134"/>
        </w:tabs>
        <w:ind w:left="1134" w:hanging="1134"/>
      </w:pPr>
      <w:rPr>
        <w:rFonts w:hint="default"/>
        <w:bCs w:val="0"/>
        <w:i w:val="0"/>
        <w:iCs w:val="0"/>
        <w:caps w:val="0"/>
        <w:smallCaps w:val="0"/>
        <w:strike w:val="0"/>
        <w:dstrike w:val="0"/>
        <w:noProof w:val="0"/>
        <w:vanish w:val="0"/>
        <w:color w:val="00408B"/>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3" w15:restartNumberingAfterBreak="0">
    <w:nsid w:val="2B470407"/>
    <w:multiLevelType w:val="hybridMultilevel"/>
    <w:tmpl w:val="7220C632"/>
    <w:lvl w:ilvl="0" w:tplc="F426EB6A">
      <w:start w:val="1"/>
      <w:numFmt w:val="bullet"/>
      <w:pStyle w:val="IPCBullet1"/>
      <w:lvlText w:val=""/>
      <w:lvlJc w:val="left"/>
      <w:pPr>
        <w:ind w:left="1211" w:hanging="360"/>
      </w:pPr>
      <w:rPr>
        <w:rFonts w:ascii="Wingdings 2" w:hAnsi="Wingdings 2" w:hint="default"/>
        <w:color w:val="A4AF00"/>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15:restartNumberingAfterBreak="0">
    <w:nsid w:val="55DB6C75"/>
    <w:multiLevelType w:val="hybridMultilevel"/>
    <w:tmpl w:val="A6020304"/>
    <w:lvl w:ilvl="0" w:tplc="2EB42478">
      <w:start w:val="1"/>
      <w:numFmt w:val="bullet"/>
      <w:pStyle w:val="Tablebullet1"/>
      <w:lvlText w:val=""/>
      <w:lvlJc w:val="left"/>
      <w:pPr>
        <w:ind w:left="720" w:hanging="360"/>
      </w:pPr>
      <w:rPr>
        <w:rFonts w:ascii="Wingdings 2" w:hAnsi="Wingdings 2" w:hint="default"/>
        <w:color w:val="00408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570FBD"/>
    <w:multiLevelType w:val="hybridMultilevel"/>
    <w:tmpl w:val="0AD844B6"/>
    <w:lvl w:ilvl="0" w:tplc="AD288962">
      <w:start w:val="1"/>
      <w:numFmt w:val="decimal"/>
      <w:pStyle w:val="Numberedbullet"/>
      <w:lvlText w:val="%1."/>
      <w:lvlJc w:val="left"/>
      <w:pPr>
        <w:tabs>
          <w:tab w:val="num" w:pos="425"/>
        </w:tabs>
        <w:ind w:left="425" w:hanging="425"/>
      </w:pPr>
      <w:rPr>
        <w:rFonts w:hint="default"/>
        <w:b/>
        <w:color w:val="A4AF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drawingGridHorizontalSpacing w:val="11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E6C"/>
    <w:rsid w:val="00002682"/>
    <w:rsid w:val="00016E6C"/>
    <w:rsid w:val="000173B0"/>
    <w:rsid w:val="00022EBD"/>
    <w:rsid w:val="00032241"/>
    <w:rsid w:val="000343B0"/>
    <w:rsid w:val="00045784"/>
    <w:rsid w:val="0007591E"/>
    <w:rsid w:val="00085279"/>
    <w:rsid w:val="000A398D"/>
    <w:rsid w:val="000A3F9E"/>
    <w:rsid w:val="000B12B7"/>
    <w:rsid w:val="000B7079"/>
    <w:rsid w:val="000D2EF4"/>
    <w:rsid w:val="000D6426"/>
    <w:rsid w:val="000E63A4"/>
    <w:rsid w:val="000E6E9E"/>
    <w:rsid w:val="000F2325"/>
    <w:rsid w:val="00114B9C"/>
    <w:rsid w:val="00115C5D"/>
    <w:rsid w:val="00122890"/>
    <w:rsid w:val="0012435B"/>
    <w:rsid w:val="00150B97"/>
    <w:rsid w:val="0015341A"/>
    <w:rsid w:val="00162202"/>
    <w:rsid w:val="00167233"/>
    <w:rsid w:val="0017524E"/>
    <w:rsid w:val="0017617A"/>
    <w:rsid w:val="0019058A"/>
    <w:rsid w:val="00195086"/>
    <w:rsid w:val="001A1993"/>
    <w:rsid w:val="001B2C51"/>
    <w:rsid w:val="001B2EB2"/>
    <w:rsid w:val="001C052B"/>
    <w:rsid w:val="001C10A8"/>
    <w:rsid w:val="001C372A"/>
    <w:rsid w:val="001E0C84"/>
    <w:rsid w:val="00202BE1"/>
    <w:rsid w:val="00241001"/>
    <w:rsid w:val="002427F9"/>
    <w:rsid w:val="00252051"/>
    <w:rsid w:val="0025276C"/>
    <w:rsid w:val="002552D9"/>
    <w:rsid w:val="00256A16"/>
    <w:rsid w:val="002706ED"/>
    <w:rsid w:val="00271FFD"/>
    <w:rsid w:val="00284A96"/>
    <w:rsid w:val="002955BD"/>
    <w:rsid w:val="002A12EC"/>
    <w:rsid w:val="002B0217"/>
    <w:rsid w:val="002B1D14"/>
    <w:rsid w:val="002C29DA"/>
    <w:rsid w:val="002C5019"/>
    <w:rsid w:val="002C56BB"/>
    <w:rsid w:val="002C6DD8"/>
    <w:rsid w:val="002E3300"/>
    <w:rsid w:val="002E50EA"/>
    <w:rsid w:val="002F6F87"/>
    <w:rsid w:val="00307003"/>
    <w:rsid w:val="00320A41"/>
    <w:rsid w:val="00320B6B"/>
    <w:rsid w:val="003232BE"/>
    <w:rsid w:val="0035757F"/>
    <w:rsid w:val="00357C0B"/>
    <w:rsid w:val="003654E2"/>
    <w:rsid w:val="00374293"/>
    <w:rsid w:val="003A6F0D"/>
    <w:rsid w:val="003B04EE"/>
    <w:rsid w:val="003B6F4C"/>
    <w:rsid w:val="003C10D6"/>
    <w:rsid w:val="003E3FDE"/>
    <w:rsid w:val="003F0765"/>
    <w:rsid w:val="004057B1"/>
    <w:rsid w:val="00406A38"/>
    <w:rsid w:val="004100F7"/>
    <w:rsid w:val="00441CB9"/>
    <w:rsid w:val="00460466"/>
    <w:rsid w:val="0047488B"/>
    <w:rsid w:val="0047692E"/>
    <w:rsid w:val="004842CC"/>
    <w:rsid w:val="00491C8E"/>
    <w:rsid w:val="004A4D2C"/>
    <w:rsid w:val="004D033B"/>
    <w:rsid w:val="004F1AC7"/>
    <w:rsid w:val="004F5FDB"/>
    <w:rsid w:val="0054495D"/>
    <w:rsid w:val="0058103E"/>
    <w:rsid w:val="005816B5"/>
    <w:rsid w:val="00587276"/>
    <w:rsid w:val="0059012C"/>
    <w:rsid w:val="005935A9"/>
    <w:rsid w:val="005B3340"/>
    <w:rsid w:val="005B6D4D"/>
    <w:rsid w:val="005F503D"/>
    <w:rsid w:val="005F547E"/>
    <w:rsid w:val="006135F1"/>
    <w:rsid w:val="00617513"/>
    <w:rsid w:val="0064218A"/>
    <w:rsid w:val="00643643"/>
    <w:rsid w:val="00653EBF"/>
    <w:rsid w:val="006552AE"/>
    <w:rsid w:val="00657092"/>
    <w:rsid w:val="00657D29"/>
    <w:rsid w:val="00662727"/>
    <w:rsid w:val="0066298B"/>
    <w:rsid w:val="006660FC"/>
    <w:rsid w:val="00667348"/>
    <w:rsid w:val="00682001"/>
    <w:rsid w:val="006875F5"/>
    <w:rsid w:val="00693D36"/>
    <w:rsid w:val="006A4C9E"/>
    <w:rsid w:val="006B3169"/>
    <w:rsid w:val="006C4032"/>
    <w:rsid w:val="006C54E2"/>
    <w:rsid w:val="006D057E"/>
    <w:rsid w:val="006D16AB"/>
    <w:rsid w:val="006D3E30"/>
    <w:rsid w:val="006D44B2"/>
    <w:rsid w:val="00713D86"/>
    <w:rsid w:val="00727545"/>
    <w:rsid w:val="00732BEC"/>
    <w:rsid w:val="00744810"/>
    <w:rsid w:val="0074545B"/>
    <w:rsid w:val="00762E03"/>
    <w:rsid w:val="007864C5"/>
    <w:rsid w:val="007A26EC"/>
    <w:rsid w:val="007B7077"/>
    <w:rsid w:val="007D435A"/>
    <w:rsid w:val="007E6D72"/>
    <w:rsid w:val="007E790D"/>
    <w:rsid w:val="00804320"/>
    <w:rsid w:val="00805B38"/>
    <w:rsid w:val="00807D87"/>
    <w:rsid w:val="0082581A"/>
    <w:rsid w:val="0082731E"/>
    <w:rsid w:val="008277CF"/>
    <w:rsid w:val="008521F3"/>
    <w:rsid w:val="00870F12"/>
    <w:rsid w:val="00872E25"/>
    <w:rsid w:val="008A7EC8"/>
    <w:rsid w:val="008B6945"/>
    <w:rsid w:val="008D1761"/>
    <w:rsid w:val="008D1A66"/>
    <w:rsid w:val="00914EBA"/>
    <w:rsid w:val="00927FE3"/>
    <w:rsid w:val="0093226A"/>
    <w:rsid w:val="00973C24"/>
    <w:rsid w:val="0099097B"/>
    <w:rsid w:val="0099283B"/>
    <w:rsid w:val="009A3F59"/>
    <w:rsid w:val="009A5A2B"/>
    <w:rsid w:val="009A61F8"/>
    <w:rsid w:val="009B0F99"/>
    <w:rsid w:val="009B156E"/>
    <w:rsid w:val="009B161C"/>
    <w:rsid w:val="009B2B6C"/>
    <w:rsid w:val="009B429C"/>
    <w:rsid w:val="009B455F"/>
    <w:rsid w:val="009C746B"/>
    <w:rsid w:val="009E7765"/>
    <w:rsid w:val="009F099E"/>
    <w:rsid w:val="009F6538"/>
    <w:rsid w:val="00A106A7"/>
    <w:rsid w:val="00A13E5E"/>
    <w:rsid w:val="00A16114"/>
    <w:rsid w:val="00A20746"/>
    <w:rsid w:val="00A24324"/>
    <w:rsid w:val="00A32A27"/>
    <w:rsid w:val="00A47D61"/>
    <w:rsid w:val="00A546BA"/>
    <w:rsid w:val="00A60C20"/>
    <w:rsid w:val="00A76FE2"/>
    <w:rsid w:val="00A815AE"/>
    <w:rsid w:val="00A93EB2"/>
    <w:rsid w:val="00AA12A8"/>
    <w:rsid w:val="00AB44B9"/>
    <w:rsid w:val="00AB6EE7"/>
    <w:rsid w:val="00AC67E7"/>
    <w:rsid w:val="00AD26EE"/>
    <w:rsid w:val="00AD7A52"/>
    <w:rsid w:val="00AE02AB"/>
    <w:rsid w:val="00AF46DA"/>
    <w:rsid w:val="00B050C9"/>
    <w:rsid w:val="00B23E33"/>
    <w:rsid w:val="00B2504F"/>
    <w:rsid w:val="00B312B6"/>
    <w:rsid w:val="00B44303"/>
    <w:rsid w:val="00B57285"/>
    <w:rsid w:val="00B7318D"/>
    <w:rsid w:val="00B80469"/>
    <w:rsid w:val="00B873AE"/>
    <w:rsid w:val="00B93AEB"/>
    <w:rsid w:val="00BA28EE"/>
    <w:rsid w:val="00BA3B52"/>
    <w:rsid w:val="00BA4D39"/>
    <w:rsid w:val="00BB1CC5"/>
    <w:rsid w:val="00BD6CC3"/>
    <w:rsid w:val="00BD6FB6"/>
    <w:rsid w:val="00BF7662"/>
    <w:rsid w:val="00C0036D"/>
    <w:rsid w:val="00C0739B"/>
    <w:rsid w:val="00C31CA7"/>
    <w:rsid w:val="00C42FB9"/>
    <w:rsid w:val="00C57AF6"/>
    <w:rsid w:val="00C63A64"/>
    <w:rsid w:val="00C7279C"/>
    <w:rsid w:val="00CB3DEA"/>
    <w:rsid w:val="00CB7BFB"/>
    <w:rsid w:val="00CC7AD1"/>
    <w:rsid w:val="00CC7DCD"/>
    <w:rsid w:val="00CE15D0"/>
    <w:rsid w:val="00D00FA1"/>
    <w:rsid w:val="00D03099"/>
    <w:rsid w:val="00D05725"/>
    <w:rsid w:val="00D05D7D"/>
    <w:rsid w:val="00D0616F"/>
    <w:rsid w:val="00D12368"/>
    <w:rsid w:val="00D12551"/>
    <w:rsid w:val="00D17A52"/>
    <w:rsid w:val="00D2671E"/>
    <w:rsid w:val="00D444DE"/>
    <w:rsid w:val="00D45068"/>
    <w:rsid w:val="00D74A97"/>
    <w:rsid w:val="00D82A7E"/>
    <w:rsid w:val="00DA6CA5"/>
    <w:rsid w:val="00DB6540"/>
    <w:rsid w:val="00DD12B3"/>
    <w:rsid w:val="00DD3951"/>
    <w:rsid w:val="00DD663B"/>
    <w:rsid w:val="00DD6C40"/>
    <w:rsid w:val="00DE0CE5"/>
    <w:rsid w:val="00DF6F69"/>
    <w:rsid w:val="00E01DE0"/>
    <w:rsid w:val="00E11D75"/>
    <w:rsid w:val="00E52E78"/>
    <w:rsid w:val="00E55259"/>
    <w:rsid w:val="00E71F31"/>
    <w:rsid w:val="00E722B6"/>
    <w:rsid w:val="00E757E5"/>
    <w:rsid w:val="00E82D62"/>
    <w:rsid w:val="00E84595"/>
    <w:rsid w:val="00E854AA"/>
    <w:rsid w:val="00E9794D"/>
    <w:rsid w:val="00EC3DDA"/>
    <w:rsid w:val="00ED0BA9"/>
    <w:rsid w:val="00ED1AFB"/>
    <w:rsid w:val="00ED5E4E"/>
    <w:rsid w:val="00ED617E"/>
    <w:rsid w:val="00EE4C5B"/>
    <w:rsid w:val="00EF2648"/>
    <w:rsid w:val="00F34DC9"/>
    <w:rsid w:val="00F415A4"/>
    <w:rsid w:val="00F70383"/>
    <w:rsid w:val="00F87CCC"/>
    <w:rsid w:val="00FB5B6C"/>
    <w:rsid w:val="00FD077E"/>
    <w:rsid w:val="00FD08D2"/>
    <w:rsid w:val="00FE4B8C"/>
    <w:rsid w:val="00FF6B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09BE22"/>
  <w15:docId w15:val="{508EED66-F7B8-4961-B67D-B67AB652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Arial"/>
        <w:color w:val="000000"/>
        <w:sz w:val="22"/>
        <w:szCs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5259"/>
    <w:rPr>
      <w:rFonts w:ascii="Arial" w:hAnsi="Arial"/>
      <w:sz w:val="24"/>
      <w:szCs w:val="24"/>
      <w:lang w:eastAsia="en-US"/>
    </w:rPr>
  </w:style>
  <w:style w:type="paragraph" w:styleId="Heading1">
    <w:name w:val="heading 1"/>
    <w:basedOn w:val="Normal"/>
    <w:next w:val="Normal"/>
    <w:qFormat/>
    <w:rsid w:val="0025276C"/>
    <w:pPr>
      <w:keepNext/>
      <w:numPr>
        <w:numId w:val="1"/>
      </w:numPr>
      <w:autoSpaceDE w:val="0"/>
      <w:autoSpaceDN w:val="0"/>
      <w:spacing w:before="240" w:after="180"/>
      <w:outlineLvl w:val="0"/>
    </w:pPr>
    <w:rPr>
      <w:b/>
      <w:bCs/>
      <w:color w:val="00408B"/>
      <w:kern w:val="32"/>
      <w:sz w:val="28"/>
      <w:szCs w:val="28"/>
    </w:rPr>
  </w:style>
  <w:style w:type="paragraph" w:styleId="Heading2">
    <w:name w:val="heading 2"/>
    <w:basedOn w:val="Normal"/>
    <w:next w:val="Normal"/>
    <w:qFormat/>
    <w:rsid w:val="00973C24"/>
    <w:pPr>
      <w:keepNext/>
      <w:numPr>
        <w:ilvl w:val="1"/>
        <w:numId w:val="1"/>
      </w:numPr>
      <w:autoSpaceDE w:val="0"/>
      <w:autoSpaceDN w:val="0"/>
      <w:spacing w:before="360" w:after="120"/>
      <w:outlineLvl w:val="1"/>
    </w:pPr>
    <w:rPr>
      <w:b/>
      <w:bCs/>
      <w:iCs/>
      <w:color w:val="00408B"/>
      <w:szCs w:val="22"/>
    </w:rPr>
  </w:style>
  <w:style w:type="paragraph" w:styleId="Heading3">
    <w:name w:val="heading 3"/>
    <w:basedOn w:val="Normal"/>
    <w:next w:val="Normal"/>
    <w:qFormat/>
    <w:rsid w:val="00762E03"/>
    <w:pPr>
      <w:keepNext/>
      <w:numPr>
        <w:ilvl w:val="2"/>
        <w:numId w:val="1"/>
      </w:numPr>
      <w:spacing w:before="120" w:after="60"/>
      <w:outlineLvl w:val="2"/>
    </w:pPr>
    <w:rPr>
      <w:bCs/>
      <w:color w:val="00408B"/>
      <w:szCs w:val="26"/>
    </w:rPr>
  </w:style>
  <w:style w:type="paragraph" w:styleId="Heading4">
    <w:name w:val="heading 4"/>
    <w:basedOn w:val="Normal"/>
    <w:next w:val="Normal"/>
    <w:qFormat/>
    <w:rsid w:val="00762E03"/>
    <w:pPr>
      <w:keepNext/>
      <w:numPr>
        <w:ilvl w:val="3"/>
        <w:numId w:val="1"/>
      </w:numPr>
      <w:tabs>
        <w:tab w:val="left" w:pos="2126"/>
      </w:tabs>
      <w:spacing w:before="120" w:after="60"/>
      <w:outlineLvl w:val="3"/>
    </w:pPr>
    <w:rPr>
      <w:bCs/>
      <w:color w:val="00408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44B2"/>
    <w:pPr>
      <w:pBdr>
        <w:bottom w:val="single" w:sz="4" w:space="1" w:color="auto"/>
      </w:pBdr>
      <w:tabs>
        <w:tab w:val="right" w:pos="8640"/>
      </w:tabs>
    </w:pPr>
    <w:rPr>
      <w:sz w:val="18"/>
      <w:szCs w:val="18"/>
    </w:rPr>
  </w:style>
  <w:style w:type="paragraph" w:customStyle="1" w:styleId="PageNumber">
    <w:name w:val="Page  Number"/>
    <w:basedOn w:val="Normal"/>
    <w:link w:val="PageNumberChar"/>
    <w:qFormat/>
    <w:rsid w:val="00DD12B3"/>
    <w:pPr>
      <w:jc w:val="right"/>
    </w:pPr>
    <w:rPr>
      <w:sz w:val="18"/>
      <w:szCs w:val="18"/>
    </w:rPr>
  </w:style>
  <w:style w:type="character" w:customStyle="1" w:styleId="PageNumberChar">
    <w:name w:val="Page  Number Char"/>
    <w:basedOn w:val="DefaultParagraphFont"/>
    <w:link w:val="PageNumber"/>
    <w:rsid w:val="00DD12B3"/>
    <w:rPr>
      <w:sz w:val="18"/>
      <w:szCs w:val="18"/>
      <w:lang w:eastAsia="en-US"/>
    </w:rPr>
  </w:style>
  <w:style w:type="paragraph" w:styleId="Footer">
    <w:name w:val="footer"/>
    <w:basedOn w:val="Normal"/>
    <w:rsid w:val="006D44B2"/>
    <w:pPr>
      <w:pBdr>
        <w:top w:val="single" w:sz="4" w:space="1" w:color="auto"/>
      </w:pBdr>
      <w:tabs>
        <w:tab w:val="right" w:pos="8640"/>
      </w:tabs>
    </w:pPr>
    <w:rPr>
      <w:sz w:val="18"/>
      <w:szCs w:val="18"/>
    </w:rPr>
  </w:style>
  <w:style w:type="paragraph" w:customStyle="1" w:styleId="Endnote">
    <w:name w:val="Endnote"/>
    <w:basedOn w:val="Normal"/>
    <w:next w:val="EndnoteText"/>
    <w:rsid w:val="00150B97"/>
    <w:rPr>
      <w:sz w:val="20"/>
    </w:rPr>
  </w:style>
  <w:style w:type="paragraph" w:styleId="EndnoteText">
    <w:name w:val="endnote text"/>
    <w:basedOn w:val="Normal"/>
    <w:semiHidden/>
    <w:rsid w:val="00B93AEB"/>
    <w:rPr>
      <w:sz w:val="20"/>
      <w:szCs w:val="20"/>
    </w:rPr>
  </w:style>
  <w:style w:type="paragraph" w:customStyle="1" w:styleId="Footnote">
    <w:name w:val="Footnote"/>
    <w:basedOn w:val="Normal"/>
    <w:next w:val="FootnoteText"/>
    <w:rsid w:val="00150B97"/>
    <w:rPr>
      <w:sz w:val="20"/>
    </w:rPr>
  </w:style>
  <w:style w:type="paragraph" w:styleId="FootnoteText">
    <w:name w:val="footnote text"/>
    <w:basedOn w:val="Normal"/>
    <w:semiHidden/>
    <w:rsid w:val="00B93AEB"/>
    <w:rPr>
      <w:sz w:val="20"/>
      <w:szCs w:val="20"/>
    </w:rPr>
  </w:style>
  <w:style w:type="paragraph" w:customStyle="1" w:styleId="FootnoteRef">
    <w:name w:val="Footnote Ref"/>
    <w:basedOn w:val="Footnote"/>
    <w:rsid w:val="00150B97"/>
    <w:rPr>
      <w:sz w:val="16"/>
      <w:szCs w:val="16"/>
      <w:vertAlign w:val="superscript"/>
    </w:rPr>
  </w:style>
  <w:style w:type="paragraph" w:customStyle="1" w:styleId="NormalBold">
    <w:name w:val="Normal Bold"/>
    <w:basedOn w:val="Normal"/>
    <w:next w:val="Normal"/>
    <w:link w:val="NormalBoldChar"/>
    <w:qFormat/>
    <w:rsid w:val="00DD12B3"/>
    <w:rPr>
      <w:b/>
      <w:szCs w:val="20"/>
    </w:rPr>
  </w:style>
  <w:style w:type="character" w:customStyle="1" w:styleId="NormalBoldChar">
    <w:name w:val="Normal Bold Char"/>
    <w:basedOn w:val="DefaultParagraphFont"/>
    <w:link w:val="NormalBold"/>
    <w:rsid w:val="00DD12B3"/>
    <w:rPr>
      <w:rFonts w:ascii="Arial" w:hAnsi="Arial" w:cs="Arial"/>
      <w:b/>
      <w:color w:val="000000"/>
      <w:sz w:val="22"/>
      <w:lang w:val="en-GB" w:eastAsia="en-US" w:bidi="ar-SA"/>
    </w:rPr>
  </w:style>
  <w:style w:type="paragraph" w:customStyle="1" w:styleId="IPCBullet2">
    <w:name w:val="IPC Bullet 2"/>
    <w:basedOn w:val="Normal"/>
    <w:link w:val="IPCBullet2Char"/>
    <w:qFormat/>
    <w:rsid w:val="002427F9"/>
    <w:pPr>
      <w:numPr>
        <w:numId w:val="5"/>
      </w:numPr>
      <w:tabs>
        <w:tab w:val="left" w:pos="851"/>
      </w:tabs>
      <w:spacing w:after="60"/>
      <w:ind w:left="850" w:hanging="425"/>
    </w:pPr>
  </w:style>
  <w:style w:type="character" w:customStyle="1" w:styleId="IPCBullet2Char">
    <w:name w:val="IPC Bullet 2 Char"/>
    <w:basedOn w:val="DefaultParagraphFont"/>
    <w:link w:val="IPCBullet2"/>
    <w:rsid w:val="002427F9"/>
    <w:rPr>
      <w:rFonts w:ascii="Arial" w:hAnsi="Arial"/>
      <w:sz w:val="24"/>
      <w:szCs w:val="24"/>
      <w:lang w:eastAsia="en-US"/>
    </w:rPr>
  </w:style>
  <w:style w:type="character" w:styleId="EndnoteReference">
    <w:name w:val="endnote reference"/>
    <w:basedOn w:val="DefaultParagraphFont"/>
    <w:rsid w:val="002427F9"/>
    <w:rPr>
      <w:rFonts w:ascii="Arial" w:hAnsi="Arial"/>
      <w:vertAlign w:val="superscript"/>
    </w:rPr>
  </w:style>
  <w:style w:type="character" w:styleId="FootnoteReference">
    <w:name w:val="footnote reference"/>
    <w:basedOn w:val="DefaultParagraphFont"/>
    <w:rsid w:val="002427F9"/>
    <w:rPr>
      <w:rFonts w:ascii="Arial" w:hAnsi="Arial"/>
      <w:vertAlign w:val="superscript"/>
    </w:rPr>
  </w:style>
  <w:style w:type="character" w:styleId="Hyperlink">
    <w:name w:val="Hyperlink"/>
    <w:basedOn w:val="DefaultParagraphFont"/>
    <w:uiPriority w:val="99"/>
    <w:unhideWhenUsed/>
    <w:rsid w:val="003C10D6"/>
    <w:rPr>
      <w:color w:val="0000FF" w:themeColor="hyperlink"/>
      <w:u w:val="single"/>
    </w:rPr>
  </w:style>
  <w:style w:type="paragraph" w:customStyle="1" w:styleId="ReportTitle">
    <w:name w:val="Report Title"/>
    <w:basedOn w:val="Normal"/>
    <w:qFormat/>
    <w:rsid w:val="009C746B"/>
    <w:rPr>
      <w:rFonts w:eastAsia="Adobe Fan Heiti Std B" w:cs="Helvetica"/>
      <w:b/>
      <w:color w:val="00408B"/>
      <w:sz w:val="44"/>
      <w:szCs w:val="44"/>
    </w:rPr>
  </w:style>
  <w:style w:type="paragraph" w:customStyle="1" w:styleId="IPCBullet1">
    <w:name w:val="IPC Bullet 1"/>
    <w:basedOn w:val="Normal"/>
    <w:qFormat/>
    <w:rsid w:val="009C746B"/>
    <w:pPr>
      <w:numPr>
        <w:numId w:val="2"/>
      </w:numPr>
      <w:tabs>
        <w:tab w:val="left" w:pos="426"/>
      </w:tabs>
      <w:spacing w:after="60"/>
      <w:ind w:left="425" w:hanging="425"/>
    </w:pPr>
    <w:rPr>
      <w:rFonts w:cs="Helvetica"/>
      <w:color w:val="auto"/>
    </w:rPr>
  </w:style>
  <w:style w:type="paragraph" w:customStyle="1" w:styleId="Tablebullet1">
    <w:name w:val="Table bullet 1"/>
    <w:basedOn w:val="IPCBullet1"/>
    <w:qFormat/>
    <w:rsid w:val="009C746B"/>
    <w:pPr>
      <w:numPr>
        <w:numId w:val="3"/>
      </w:numPr>
      <w:ind w:left="397" w:hanging="397"/>
    </w:pPr>
  </w:style>
  <w:style w:type="paragraph" w:customStyle="1" w:styleId="tablebullet2">
    <w:name w:val="table bullet 2"/>
    <w:basedOn w:val="IPCBullet2"/>
    <w:qFormat/>
    <w:rsid w:val="009C746B"/>
    <w:pPr>
      <w:numPr>
        <w:numId w:val="4"/>
      </w:numPr>
      <w:ind w:left="850" w:hanging="425"/>
    </w:pPr>
    <w:rPr>
      <w:rFonts w:cs="Helvetica"/>
      <w:color w:val="auto"/>
    </w:rPr>
  </w:style>
  <w:style w:type="table" w:customStyle="1" w:styleId="IPCTable">
    <w:name w:val="IPC Table"/>
    <w:basedOn w:val="TableNormal"/>
    <w:uiPriority w:val="99"/>
    <w:qFormat/>
    <w:rsid w:val="00115C5D"/>
    <w:pPr>
      <w:spacing w:before="60" w:after="60"/>
    </w:pPr>
    <w:rPr>
      <w:rFonts w:ascii="Arial" w:hAnsi="Arial"/>
      <w:color w:val="auto"/>
      <w:sz w:val="24"/>
      <w:szCs w:val="20"/>
    </w:rPr>
    <w:tblPr>
      <w:tblStyleRowBandSize w:val="1"/>
      <w:tblBorders>
        <w:top w:val="single" w:sz="8" w:space="0" w:color="00408B"/>
        <w:left w:val="single" w:sz="8" w:space="0" w:color="00408B"/>
        <w:bottom w:val="single" w:sz="8" w:space="0" w:color="00408B"/>
        <w:right w:val="single" w:sz="8" w:space="0" w:color="00408B"/>
        <w:insideH w:val="single" w:sz="8" w:space="0" w:color="00408B"/>
        <w:insideV w:val="single" w:sz="8" w:space="0" w:color="00408B"/>
      </w:tblBorders>
    </w:tblPr>
    <w:tblStylePr w:type="firstRow">
      <w:rPr>
        <w:rFonts w:ascii="Arial" w:hAnsi="Arial"/>
        <w:b/>
        <w:sz w:val="24"/>
      </w:rPr>
      <w:tblPr/>
      <w:tcPr>
        <w:shd w:val="clear" w:color="auto" w:fill="A4AF00"/>
      </w:tcPr>
    </w:tblStylePr>
    <w:tblStylePr w:type="firstCol">
      <w:tblPr/>
      <w:tcPr>
        <w:tcBorders>
          <w:left w:val="nil"/>
        </w:tcBorders>
        <w:shd w:val="clear" w:color="auto" w:fill="FFFFFF" w:themeFill="background1"/>
      </w:tcPr>
    </w:tblStylePr>
    <w:tblStylePr w:type="band1Horz">
      <w:rPr>
        <w:rFonts w:ascii="Arial" w:hAnsi="Arial"/>
        <w:sz w:val="24"/>
      </w:rPr>
      <w:tblPr/>
      <w:tcPr>
        <w:shd w:val="clear" w:color="auto" w:fill="C9CF66"/>
      </w:tcPr>
    </w:tblStylePr>
    <w:tblStylePr w:type="band2Horz">
      <w:tblPr/>
      <w:tcPr>
        <w:shd w:val="clear" w:color="auto" w:fill="E4E7B3"/>
      </w:tcPr>
    </w:tblStylePr>
    <w:tblStylePr w:type="nwCell">
      <w:rPr>
        <w:rFonts w:ascii="Arial" w:hAnsi="Arial"/>
        <w:b/>
        <w:sz w:val="24"/>
      </w:rPr>
      <w:tblPr/>
      <w:tcPr>
        <w:shd w:val="clear" w:color="auto" w:fill="FFFFFF" w:themeFill="background1"/>
      </w:tcPr>
    </w:tblStylePr>
    <w:tblStylePr w:type="swCell">
      <w:tblPr/>
      <w:tcPr>
        <w:tcBorders>
          <w:top w:val="nil"/>
          <w:left w:val="nil"/>
          <w:bottom w:val="nil"/>
          <w:right w:val="nil"/>
          <w:insideH w:val="nil"/>
          <w:insideV w:val="nil"/>
          <w:tl2br w:val="nil"/>
          <w:tr2bl w:val="nil"/>
        </w:tcBorders>
      </w:tcPr>
    </w:tblStylePr>
  </w:style>
  <w:style w:type="table" w:customStyle="1" w:styleId="SingleCellTable">
    <w:name w:val="Single Cell Table"/>
    <w:basedOn w:val="TableNormal"/>
    <w:uiPriority w:val="99"/>
    <w:qFormat/>
    <w:rsid w:val="00115C5D"/>
    <w:pPr>
      <w:spacing w:before="60" w:after="60"/>
    </w:pPr>
    <w:rPr>
      <w:rFonts w:ascii="Arial" w:hAnsi="Arial"/>
      <w:color w:val="auto"/>
      <w:sz w:val="24"/>
      <w:szCs w:val="20"/>
    </w:rPr>
    <w:tblPr>
      <w:tblBorders>
        <w:insideH w:val="single" w:sz="8" w:space="0" w:color="4F6228" w:themeColor="accent3" w:themeShade="80"/>
        <w:insideV w:val="single" w:sz="8" w:space="0" w:color="4F6228" w:themeColor="accent3" w:themeShade="80"/>
      </w:tblBorders>
    </w:tblPr>
    <w:tcPr>
      <w:shd w:val="clear" w:color="auto" w:fill="C9CF66"/>
    </w:tcPr>
  </w:style>
  <w:style w:type="table" w:styleId="TableGrid">
    <w:name w:val="Table Grid"/>
    <w:basedOn w:val="TableNormal"/>
    <w:rsid w:val="00115C5D"/>
    <w:pPr>
      <w:spacing w:before="60" w:after="60"/>
    </w:pPr>
    <w:rPr>
      <w:rFonts w:ascii="Arial" w:hAnsi="Arial"/>
      <w:color w:val="auto"/>
      <w:sz w:val="24"/>
      <w:szCs w:val="20"/>
    </w:rPr>
    <w:tblPr>
      <w:tblBorders>
        <w:top w:val="single" w:sz="4" w:space="0" w:color="00408B"/>
        <w:left w:val="single" w:sz="4" w:space="0" w:color="00408B"/>
        <w:bottom w:val="single" w:sz="4" w:space="0" w:color="00408B"/>
        <w:right w:val="single" w:sz="4" w:space="0" w:color="00408B"/>
        <w:insideH w:val="single" w:sz="4" w:space="0" w:color="00408B"/>
        <w:insideV w:val="single" w:sz="4" w:space="0" w:color="00408B"/>
      </w:tblBorders>
    </w:tblPr>
    <w:tcPr>
      <w:shd w:val="clear" w:color="auto" w:fill="C9CF66"/>
    </w:tcPr>
    <w:tblStylePr w:type="firstRow">
      <w:pPr>
        <w:wordWrap/>
        <w:spacing w:beforeLines="0" w:beforeAutospacing="0" w:afterLines="0" w:afterAutospacing="0"/>
      </w:pPr>
      <w:rPr>
        <w:rFonts w:ascii="Arial" w:hAnsi="Arial"/>
        <w:b/>
        <w:sz w:val="24"/>
      </w:rPr>
    </w:tblStylePr>
  </w:style>
  <w:style w:type="paragraph" w:customStyle="1" w:styleId="Numberedbullet">
    <w:name w:val="Numbered bullet"/>
    <w:basedOn w:val="Normal"/>
    <w:qFormat/>
    <w:rsid w:val="008B6945"/>
    <w:pPr>
      <w:numPr>
        <w:numId w:val="6"/>
      </w:numPr>
      <w:spacing w:after="60"/>
    </w:pPr>
    <w:rPr>
      <w:rFonts w:cs="Helvetic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igitalsocialcare.co.uk/glossary/"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for-organisations/guide-to-the-general-data-protection-regulation-gdpr/personal-data-breach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gitalsocialcare.co.uk/resource/staff-guidance-on-data-breach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www.digitalsocialcare.co.uk/latest-guidance/template-policie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Office%20Templates\Plain%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602B3-2666-495D-9E64-E2938FAB9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 Document.dotx</Template>
  <TotalTime>7</TotalTime>
  <Pages>4</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Institute of Public Care</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Daru</dc:creator>
  <cp:lastModifiedBy>Jackie Daru</cp:lastModifiedBy>
  <cp:revision>5</cp:revision>
  <dcterms:created xsi:type="dcterms:W3CDTF">2020-10-13T16:10:00Z</dcterms:created>
  <dcterms:modified xsi:type="dcterms:W3CDTF">2020-10-13T16:17:00Z</dcterms:modified>
</cp:coreProperties>
</file>